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CB" w:rsidRDefault="003A05CB" w:rsidP="003A05CB">
      <w:pPr>
        <w:tabs>
          <w:tab w:val="left" w:pos="3458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</w:t>
      </w: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24.10.2017 г. № 379  </w:t>
      </w: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основных направлениях бюджетной и  налоговой политики Тейковского муниципального района на 2018 год и плановый период 2019 и 2020 годов</w:t>
      </w:r>
    </w:p>
    <w:p w:rsidR="003A05CB" w:rsidRDefault="003A05CB" w:rsidP="003A05CB">
      <w:pPr>
        <w:tabs>
          <w:tab w:val="left" w:pos="3458"/>
        </w:tabs>
        <w:jc w:val="center"/>
        <w:rPr>
          <w:rFonts w:ascii="Times New Roman" w:hAnsi="Times New Roman"/>
          <w:sz w:val="28"/>
          <w:szCs w:val="28"/>
        </w:rPr>
      </w:pPr>
    </w:p>
    <w:p w:rsidR="003A05CB" w:rsidRDefault="003A05CB" w:rsidP="003A05CB">
      <w:pPr>
        <w:pStyle w:val="a4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5" w:history="1">
        <w:r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статьями 172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hyperlink r:id="rId6" w:history="1">
        <w:r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184.2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 и пунктом 5.2 Решения Совета Тейковского муниципального района от 05.08.2015 № 24-р «Об утверждении Положения о бюджетном процессе Тейковского муниципального района» (в действующей редакции), администрация Тейковского муниципального района</w:t>
      </w:r>
    </w:p>
    <w:p w:rsidR="003A05CB" w:rsidRDefault="003A05CB" w:rsidP="003A05CB">
      <w:pPr>
        <w:pStyle w:val="a4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A05CB" w:rsidRDefault="003A05CB" w:rsidP="003A05CB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hyperlink r:id="rId7" w:anchor="Par29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Тейковского муниципального района на 2018 год и плановый период 2019 и 2020 годов (приложение).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5CB" w:rsidRDefault="003A05CB" w:rsidP="003A05CB">
      <w:pPr>
        <w:pStyle w:val="a4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Тейковского</w:t>
      </w:r>
    </w:p>
    <w:p w:rsidR="003A05CB" w:rsidRDefault="003A05CB" w:rsidP="003A05CB">
      <w:pPr>
        <w:pStyle w:val="a4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С.А. Семенова </w:t>
      </w:r>
    </w:p>
    <w:p w:rsidR="003A05CB" w:rsidRDefault="003A05CB" w:rsidP="003A05CB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5CB" w:rsidRDefault="003A05CB" w:rsidP="003A05C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05CB" w:rsidRDefault="003A05CB" w:rsidP="003A05C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A05CB" w:rsidRDefault="003A05CB" w:rsidP="003A05C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24.10.2017 г. № 379</w:t>
      </w: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05CB" w:rsidRDefault="003A05CB" w:rsidP="003A05CB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3A05CB" w:rsidRDefault="003A05CB" w:rsidP="003A05CB">
      <w:pPr>
        <w:pStyle w:val="ConsPlusTitle"/>
        <w:jc w:val="center"/>
        <w:rPr>
          <w:szCs w:val="28"/>
        </w:rPr>
      </w:pPr>
      <w:r>
        <w:rPr>
          <w:szCs w:val="28"/>
        </w:rPr>
        <w:t>ОСНОВНЫЕ НАПРАВЛЕНИЯ</w:t>
      </w:r>
    </w:p>
    <w:p w:rsidR="003A05CB" w:rsidRDefault="003A05CB" w:rsidP="003A05CB">
      <w:pPr>
        <w:pStyle w:val="ConsPlusTitle"/>
        <w:jc w:val="center"/>
        <w:rPr>
          <w:szCs w:val="28"/>
        </w:rPr>
      </w:pPr>
      <w:r>
        <w:rPr>
          <w:szCs w:val="28"/>
        </w:rPr>
        <w:t>БЮДЖЕТНОЙ  И  НАЛОГОВОЙ ПОЛИТИКИ  ТЕЙКОВСКОГО МУНИЦИПАЛЬНОГО РАЙОНА НА 2018 ГОД И ПЛАНОВЫЙ ПЕРИОД 2019</w:t>
      </w:r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2020 ГОДОВ</w:t>
      </w: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Тейковского муниципального района на 2018 год и плановый период 2019 и 2020 годов подготовлены в соответствии со статьями 172, 184.2 Бюджетного кодекса Российской Федерации (далее - Бюджетный кодекс), а также стратегическими целями развития Тейковского муниципального района до 2020 года.</w:t>
      </w:r>
    </w:p>
    <w:p w:rsidR="003A05CB" w:rsidRDefault="003A05CB" w:rsidP="003A05CB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Бюджетная и налоговая политика Тейковского муниципального района  на 2018-2020 годы обеспечивает  преемственность бюджетной и налоговой политики предыдущего планового периода,  является основой бюджетного планирования, обеспечения рационального и эффективного использования бюджетных средств и ориентирована на повышение качества жизни населения Тейковского муниципального района за счет создания условий для обеспечения граждан доступными и качественными бюджетными услугами.</w:t>
      </w:r>
      <w:proofErr w:type="gramEnd"/>
    </w:p>
    <w:p w:rsidR="003A05CB" w:rsidRDefault="003A05CB" w:rsidP="003A05CB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05CB" w:rsidRDefault="003A05CB" w:rsidP="003A05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Итоги реализации бюджетной политики в 2016 году</w:t>
      </w: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первой половине 2017 года</w:t>
      </w: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бюджетной политики в 2016 году и первой половине 2017 года стали: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социально-экономического развития Тейковского муниципального района в условиях обеспечения сбалансированности и устойчивости бюджета Тейковского муниципального района;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имеющихся бюджетных ресурсов на первоочередные расходы, а также в пользу приоритетных направлений и проектов с целью сохранения социальной и финансовой стабильности;</w:t>
      </w:r>
    </w:p>
    <w:p w:rsidR="003A05CB" w:rsidRDefault="003A05CB" w:rsidP="003A0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обеспечение исполнения бюджетных обязательств без привлечения заемных средств;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бюджета Тейковского муниципального района в "программном" формате  на основании 16 муниципальных программ, доля расходов которых составила  81,4 % от общего объема расходов бюджета Тейковского муниципального района;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привлечение средств федерального и областного бюджетов, благодаря участию в различных государственных программах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пополнение доходной части бюджета района по результатам работы комиссии по обеспечению своевременности и полноты поступлений обязательных платежей в бюджеты всех уровней и государственные внебюджетные фонды;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оказания муниципальных услуг (выполнения работ);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"дорожных карт", направленных на повышение эффективности и качества услуг в сфере образования и культуры Тейковского муниципального района, в целях реализации майских указов Президента Российской Федерации;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государственной интегрированной информационной системе управления общественными финансами "Электронный бюджет";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и прозрачности общественных финансов, информации о бюджете Тейковского муниципального района - бюджет для граждан.</w:t>
      </w:r>
    </w:p>
    <w:p w:rsidR="003A05CB" w:rsidRDefault="003A05CB" w:rsidP="003A05CB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05CB" w:rsidRDefault="003A05CB" w:rsidP="003A05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 Цели и задачи бюджетной и налоговой политики Тейковского муниципального района на 2018 год и плановый период 2019-2020 годов</w:t>
      </w:r>
    </w:p>
    <w:p w:rsidR="003A05CB" w:rsidRDefault="003A05CB" w:rsidP="003A05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 будет реализовываться на основе бюджетных принципов, установленных Бюджетным кодексом Российской Федерации. Обеспечение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устойчивости и сбалансированности бюджетной системы является приоритетной задачей бюджетной и налоговой политики.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 бюджетной и налоговой политики Тейковского муниципального района является создание условий для обеспечения устойчивого развития экономики Тейковского муниципального района и повышения уровня качества жизни населения.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также сосредоточить усилия на решении следующих основных задач: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доходных источников Тейковского муниципального района;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средств Тейковского муниципального района;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кассовой дисциплины, использование такого ограничительного инструмента, как предельный объем финансирования;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и устойчивости бюджета Тейковского муниципального района;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результативности расходов и эффективности управления финансовыми ресурсами;</w:t>
      </w:r>
    </w:p>
    <w:p w:rsidR="003A05CB" w:rsidRDefault="003A05CB" w:rsidP="003A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укрепление системы финансового контроля, повышение его роли в управлении бюджетным процессом;</w:t>
      </w:r>
    </w:p>
    <w:p w:rsidR="003A05CB" w:rsidRDefault="003A05CB" w:rsidP="003A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реализация принципов  открытости и прозрачности управления муниципальными финансами.</w:t>
      </w:r>
    </w:p>
    <w:p w:rsidR="003A05CB" w:rsidRDefault="003A05CB" w:rsidP="003A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5CB" w:rsidRDefault="003A05CB" w:rsidP="003A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b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Тейковского муниципального района на 2018 год и на плановый период 2019 и 2020 годов в области доходов </w:t>
      </w: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Тейковского муниципального района на 2018 год и на плановый период 2019 и 2020 годов в области доходов  будет ориентирована на укрепление собственной доходной базы бюджета района, совершенствование администрирования доходов, эффективное использование муниципального имущества.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и налоговой политики Тейковского муниципального района в области доходов бюджета района являются: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администрирования главными администраторами доходов бюджета района в целях обеспечения качественного прогнозирования доходов бюджета и выполнения в полном объеме годовых назначений;</w:t>
      </w:r>
    </w:p>
    <w:p w:rsidR="003A05CB" w:rsidRDefault="003A05CB" w:rsidP="003A05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  взаимодействие с организациями - налогоплательщиками с целью достоверности и объективности прогнозирования доходных источников;     </w:t>
      </w:r>
    </w:p>
    <w:p w:rsidR="003A05CB" w:rsidRDefault="003A05CB" w:rsidP="003A05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совершенствование методов контроля легализации «теневой» заработной платы;</w:t>
      </w:r>
    </w:p>
    <w:p w:rsidR="003A05CB" w:rsidRDefault="003A05CB" w:rsidP="003A05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поиск новых источников пополнения бюджета Тейковского муниципального района;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оценке эффективности предоставления налоговых льгот;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 источников доходов бюджета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 по привлечению в бюджет Тейковского муниципального района дополнительных средств из вышестоящих бюджетов при активном участии в государственных программах Ивановской области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05CB" w:rsidRDefault="003A05CB" w:rsidP="003A05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 повышение эффективности управления муниципальной собственностью, в том числе за счет повышения качества претензионной  работы;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имущества, закрепленного за учреждениями на праве оперативного управления,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муниципальным предприятиям Тейковского муниципального района;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принудительному изъятию ненадлежащим образом используемых или неиспользуемых по назначению земельных участков для предоставления их эффективным инвесторам;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исчисление налоговой базы по объектам недвижимого имущества, исходя из их кадастровой стоимости по состоянию на 1 января года налогового периода.</w:t>
      </w:r>
    </w:p>
    <w:p w:rsidR="003A05CB" w:rsidRDefault="003A05CB" w:rsidP="003A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5CB" w:rsidRDefault="003A05CB" w:rsidP="003A05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Бюджетная  политика Тейковского муниципального района на  2018-2020 годы в области расходов</w:t>
      </w:r>
    </w:p>
    <w:p w:rsidR="003A05CB" w:rsidRDefault="003A05CB" w:rsidP="003A05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Тейковского муниципального района на 2018 год и на плановый период 2019 и 2020 годов в области расходов бюджета района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расходных обязательств и недопущение образования кредиторской задолженности.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Тейковского муниципального района в области расходов бюджета Тейковского муниципального района определены: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бюджетных параметров, исходя из необходимости безусловного исполнения действующих расходных обязательств Тейковского муниципального района, с учетом их оптимизации и повышения эффективности использования финансовых средств;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дальнейшая реализация принципа формирования расходов бюджета Тейковского муниципального района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Тейковского муниципального района за выполнение муниципальных заданий;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майских указов Президента Российской Федерации в соответствии с целевыми показателями, утвержденными планами мероприятий («дорожными картами»);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контрактных результатов, предотвращения коррупции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электронного взаимодействия в бюджетном процессе;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муниципального финансового контроля и мониторинга качества финансового менеджмента.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расходы на 2018 - 2020 годы будут сформированы на основе следующих приоритетных направлений: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равного доступа населения к социальным услугам, повышение качества оказания услуг в сфере образования, культуры и спорта;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 дорожной инфраструктуры;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расходов бюджета Тейковского муниципального района, обеспечение режима эффективного и экономного расходования средств;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процесса, участие граждан и общественных организаций в формировании бюджета.</w:t>
      </w:r>
    </w:p>
    <w:p w:rsidR="003A05CB" w:rsidRDefault="003A05CB" w:rsidP="003A05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дошкольного образования будет продолжена работа по сохранению  мест  в дошкольных учреждениях, укреплению материально-технической базы дошкольных учреждений.</w:t>
      </w:r>
    </w:p>
    <w:p w:rsidR="003A05CB" w:rsidRDefault="003A05CB" w:rsidP="003A05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в сфере молодежной политики в Тейковском муниципальном районе остается проведение мероприятий по обеспечению гарантий в сфере труда и занятости молодежи, содействию предпринимательской деятельности, поддержке талантливой молодежи, молодых семей, развитию общественной молодежной инициативы, патриотического воспитания молодежи, что позволит обеспечить решение поставленных задач в указанной сфере деятельности.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07.05.2012 № 599 "О мерах по реализации государственной политики в области образования и науки" особое внимание будет уделено разработке комплекса мер, направленных на выявление и поддержку одаренных детей и молодежи.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 работа по организации отдыха детей в летнее время, в том числе для подростков и молодежи, находящихся в трудной жизненной ситуации.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Тейковского муниципального района, создание условий для улучшения доступа населения Тейковского муниципального района к культурным ценностям, информации и знаниям,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укрепление материально-технической базы учреждений культуры, а также создание благоприятных условий для развития туризма.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Бюджетная политика в сфере физической культуры и спорта будет направлена на совершенствование системы спорта, расширение возможностей для участия в физкультурно-массовых и спортивных мероприятиях всех групп населения, внедрение Всероссийского физкультурно-спортивного комплекса "Готов к труду и обороне", а также на организацию физкультурных мероприятий, спортивных мероприятий и участие спортсменов Тейковского муниципального района в выездных соревнованиях.</w:t>
      </w:r>
      <w:proofErr w:type="gramEnd"/>
    </w:p>
    <w:p w:rsidR="003A05CB" w:rsidRDefault="003A05CB" w:rsidP="003A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обеспечения сохранности существующей дорожной сети предусмотрено выполнение работ по содержанию и ремонту дорог.  Финансирование указанных расходов будет осуществляться в пределах бюджетных ассигнований дорожного фонда Тейковского муниципального района.</w:t>
      </w:r>
    </w:p>
    <w:p w:rsidR="003A05CB" w:rsidRDefault="003A05CB" w:rsidP="003A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Приоритетными направлениями развития Тейковского муниципального района в сфере жилищно-коммунального хозяйства остаются совершенствование организации содержания и капитального ремонта муниципального жилищного фонда, совершенствование организации в границах Тейковского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-, водоснабжения, водоотведения.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бюджетной сфере и коммунальном комплексе будет осуществляться за счет энергосбережения и рационального использования топливно-энергетических ресурсов.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благоустройства будет продолжена работа: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и содержанию мест захоронения сельских поселений;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проведению мероприятий по обустройству дополнительных контейнерных площадок.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казны, а также пополнение доходной части бюджета Тейковского муниципального района за счет его последующей реализации.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в Тейковском муниципальном районе благоприятных условий для развития малого и среднего предпринимательства и повышения предпринимательской инициативы граждан предусматриваются расходы на поддержку предпринимателей Тейковского муниципального района.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социальной политики приоритетными остаются такие мероприятия, как поддержка в решении жилищных проблем молодым семьям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адресная помощь родителям детей, посещающих дошкольные образовательные учреждения в виде компенсации части родительской платы.</w:t>
      </w:r>
    </w:p>
    <w:p w:rsidR="003A05CB" w:rsidRDefault="003A05CB" w:rsidP="003A05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05CB" w:rsidRDefault="003A05CB" w:rsidP="003A05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05CB" w:rsidRDefault="003A05CB" w:rsidP="003A05CB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5. Политика в области муниципального долга Тейковского муниципального района  на 2018 год и на плановый период 2019-2020         </w:t>
      </w:r>
    </w:p>
    <w:p w:rsidR="003A05CB" w:rsidRDefault="003A05CB" w:rsidP="003A05CB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годов</w:t>
      </w: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CB" w:rsidRDefault="003A05CB" w:rsidP="003A0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Политика в области муниципального долга Тейковского муниципального района на 2018 год и плановый период 2019-2020 годов будет направлена на исполнение принятых обязательств без привлечения заемных средств.</w:t>
      </w:r>
    </w:p>
    <w:p w:rsidR="003A05CB" w:rsidRDefault="003A05CB" w:rsidP="003A0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политики района, как составная часть бюджетной политики, в 2018-2020 годах призвана обеспечить последовательность реализации целей и задач предыдущего периода, и ориентирована на реализацию следующих задач:</w:t>
      </w:r>
    </w:p>
    <w:p w:rsidR="003A05CB" w:rsidRDefault="003A05CB" w:rsidP="003A05CB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поддержание объема муниципального  долга в пределах ограничений, установленных нормами бюджетного законодательства Российской Федерации;</w:t>
      </w:r>
    </w:p>
    <w:p w:rsidR="003A05CB" w:rsidRDefault="003A05CB" w:rsidP="003A05CB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обеспечение взаимосвязи принятия решения о заимствованиях с реальными потребностями районного бюджета в привлечении заемных средств;</w:t>
      </w:r>
    </w:p>
    <w:p w:rsidR="003A05CB" w:rsidRDefault="003A05CB" w:rsidP="003A05CB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 обеспечение открытости и прозрачности информации  о муниципальном долге Тейковского муниципального района. </w:t>
      </w:r>
    </w:p>
    <w:p w:rsidR="003A05CB" w:rsidRDefault="003A05CB" w:rsidP="003A0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Политика в сфере межбюджетных отношений</w:t>
      </w:r>
    </w:p>
    <w:p w:rsidR="003A05CB" w:rsidRDefault="003A05CB" w:rsidP="003A05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05CB" w:rsidRDefault="003A05CB" w:rsidP="003A0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Тейковского муниципального района в сфере межбюджетных отношений должна быть направлена на работу по привлечению в бюджет  Тейковского муниципального района  дополнительных  межбюджетных трансфертов из федерального и областного бюджетов.</w:t>
      </w:r>
      <w:proofErr w:type="gramEnd"/>
    </w:p>
    <w:p w:rsidR="003A05CB" w:rsidRDefault="003A05CB" w:rsidP="003A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 продолжится работа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 предоставления межбюджетных трансфертов из областного бюджета.</w:t>
      </w:r>
    </w:p>
    <w:p w:rsidR="003A05CB" w:rsidRDefault="003A05CB" w:rsidP="003A05C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межбюджетных отношений с поселениями Тейковского муниципального района в 2018 - 2020 годах будет осуществляться в соответствии с Бюджетным кодексом Российской Федерации. </w:t>
      </w:r>
    </w:p>
    <w:p w:rsidR="007904CD" w:rsidRDefault="007904CD"/>
    <w:sectPr w:rsidR="0079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CB"/>
    <w:rsid w:val="003A05CB"/>
    <w:rsid w:val="007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A05CB"/>
    <w:rPr>
      <w:rFonts w:ascii="Calibri" w:eastAsiaTheme="minorHAnsi" w:hAnsi="Calibri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99"/>
    <w:qFormat/>
    <w:rsid w:val="003A05CB"/>
    <w:pPr>
      <w:spacing w:after="0" w:line="240" w:lineRule="auto"/>
    </w:pPr>
    <w:rPr>
      <w:rFonts w:ascii="Calibri" w:eastAsiaTheme="minorHAnsi" w:hAnsi="Calibri" w:cs="Times New Roman"/>
      <w:sz w:val="24"/>
      <w:szCs w:val="3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3A05C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A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A05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3A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\2017%20&#1075;\&#1055;&#1086;&#1089;&#1090;&#1072;&#1085;&#1086;&#1074;&#1083;&#1077;&#1085;&#1080;&#1103;%202017%20&#107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7E7884A726C6BC4A593C695E9ED3E31D1DCF0430EB06BA685EBDF0F34BFCFE167D13C6F36F425X9qCN" TargetMode="External"/><Relationship Id="rId5" Type="http://schemas.openxmlformats.org/officeDocument/2006/relationships/hyperlink" Target="consultantplus://offline/ref=C317E7884A726C6BC4A593C695E9ED3E31D1DCF0430EB06BA685EBDF0F34BFCFE167D13C6F36F42FX9q4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2574</Words>
  <Characters>14677</Characters>
  <Application>Microsoft Office Word</Application>
  <DocSecurity>0</DocSecurity>
  <Lines>122</Lines>
  <Paragraphs>34</Paragraphs>
  <ScaleCrop>false</ScaleCrop>
  <Company>Финансовый отдел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2017-11-08T07:20:00Z</dcterms:created>
  <dcterms:modified xsi:type="dcterms:W3CDTF">2017-11-08T07:21:00Z</dcterms:modified>
</cp:coreProperties>
</file>